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120" w:before="120" w:line="276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ВЛИЯНИЕ ТЕРАПИИ НА КЛИНИЧЕСКИЕ ПОКАЗАТЕЛИ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Это синтетическая рукопись для отработки единого стиля рисунков и таблиц. Данные вымышлены; каждый объект имитирует вывод своей программы.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Результаты представлены на рис. 1.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2847975" cy="1895475"/>
            <wp:effectExtent t="0" r="0" b="0" l="0"/>
            <wp:docPr id="10" name="figure" descr="Динамика систолического АД за 12 недель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120" w:line="240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Рис. 1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Динамика систолического АД за 12 недель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Результаты представлены на рис. 2.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2847975" cy="1962150"/>
            <wp:effectExtent t="0" r="0" b="0" l="0"/>
            <wp:docPr id="11" name="figure" descr="Концентрация IL-6 в зависимости от дозы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120" w:line="240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Рис. 2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Концентрация IL-6 в зависимости от дозы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Результаты представлены на рис. 3.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2847975" cy="1895475"/>
            <wp:effectExtent t="0" r="0" b="0" l="0"/>
            <wp:docPr id="12" name="figure" descr="Связь ИМТ и концентрации лептина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120" w:line="240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Рис. 3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Связь ИМТ и концентрации лептина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Результаты представлены на рис. 4.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2847975" cy="1895475"/>
            <wp:effectExtent t="0" r="0" b="0" l="0"/>
            <wp:docPr id="13" name="figure" descr="Экспрессия гена по генотипам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120" w:line="240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Рис. 4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Экспрессия гена по генотипам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Результаты представлены на рис. 5.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2847975" cy="1962150"/>
            <wp:effectExtent t="0" r="0" b="0" l="0"/>
            <wp:docPr id="14" name="figure" descr="Спектры поглощения образцов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120" w:line="240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Рис. 5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Спектры поглощения образцов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Результаты представлены на рис. 6.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2847975" cy="1971675"/>
            <wp:effectExtent t="0" r="0" b="0" l="0"/>
            <wp:docPr id="15" name="figure" descr="Кривые выживаемости Каплана–Мейера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120" w:line="240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Рис. 6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Кривые выживаемости Каплана–Мейера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Результаты представлены на рис. 7.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2847975" cy="1962150"/>
            <wp:effectExtent t="0" r="0" b="0" l="0"/>
            <wp:docPr id="16" name="figure" descr="Структура обращений по годам, %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120" w:line="240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Рис. 7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Структура обращений по годам, %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Результаты представлены на рис. 8.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2847975" cy="1895475"/>
            <wp:effectExtent t="0" r="0" b="0" l="0"/>
            <wp:docPr id="17" name="figure" descr="Температура тела после начала терапии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120" w:line="240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Рис. 8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Температура тела после начала терапии</w:t>
      </w:r>
    </w:p>
    <w:p>
      <w:pPr>
        <w:keepNext/>
        <w:spacing w:after="60" w:before="120" w:line="240" w:lineRule="auto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Таблица 1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Описательные статистики (вывод SPSS)</w:t>
      </w:r>
    </w:p>
    <w:tbl>
      <w:tblPr>
        <w:tblW w:type="pct" w:w="50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870"/>
        <w:gridCol w:w="1870"/>
        <w:gridCol w:w="1870"/>
        <w:gridCol w:w="1870"/>
        <w:gridCol w:w="1870"/>
      </w:tblGrid>
      <w:tr>
        <w:trPr>
          <w:cantSplit/>
          <w:tblHeader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Variable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Mean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Std. Deviation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p</w:t>
            </w:r>
          </w:p>
        </w:tc>
      </w:tr>
      <w:tr>
        <w:trPr>
          <w:cantSplit w:val="off"/>
          <w:tblHeader w:val="off"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Age, years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54,317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11,204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0,214</w:t>
            </w:r>
          </w:p>
        </w:tc>
      </w:tr>
      <w:tr>
        <w:trPr>
          <w:cantSplit w:val="off"/>
          <w:tblHeader w:val="off"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BMI, kg/m²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27,906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4,118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0,031</w:t>
            </w:r>
          </w:p>
        </w:tc>
      </w:tr>
      <w:tr>
        <w:trPr>
          <w:cantSplit w:val="off"/>
          <w:tblHeader w:val="off"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SBP, mmHg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142,550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15,762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&lt; 0,001</w:t>
            </w:r>
          </w:p>
        </w:tc>
      </w:tr>
      <w:tr>
        <w:trPr>
          <w:cantSplit w:val="off"/>
          <w:tblHeader w:val="off"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HbA1c, %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118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6,842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1,093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0,008</w:t>
            </w:r>
          </w:p>
        </w:tc>
      </w:tr>
    </w:tbl>
    <w:p>
      <w:pPr>
        <w:spacing w:after="120" w:before="0"/>
      </w:pPr>
    </w:p>
    <w:p>
      <w:pPr>
        <w:keepNext/>
        <w:spacing w:after="60" w:before="120" w:line="240" w:lineRule="auto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Таблица 2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Лабораторные показатели по группам</w:t>
      </w:r>
    </w:p>
    <w:tbl>
      <w:tblPr>
        <w:tblW w:type="pct" w:w="50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338"/>
        <w:gridCol w:w="2338"/>
        <w:gridCol w:w="2338"/>
        <w:gridCol w:w="2338"/>
      </w:tblGrid>
      <w:tr>
        <w:trPr>
          <w:cantSplit/>
          <w:tblHeader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Группа А (n = 60)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Группа Б (n = 60)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p</w:t>
            </w:r>
          </w:p>
        </w:tc>
      </w:tr>
      <w:tr>
        <w:trPr>
          <w:cantSplit w:val="off"/>
          <w:tblHeader w:val="off"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Гемоглобин, г/л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134,2 ± 12,1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131,8 ± 13,4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0,31</w:t>
            </w:r>
          </w:p>
        </w:tc>
      </w:tr>
      <w:tr>
        <w:trPr>
          <w:cantSplit w:val="off"/>
          <w:tblHeader w:val="off"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Лейкоциты, ×10⁹/л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7,1 ± 1,9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8,4 ± 2,2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0,002</w:t>
            </w:r>
          </w:p>
        </w:tc>
      </w:tr>
      <w:tr>
        <w:trPr>
          <w:cantSplit w:val="off"/>
          <w:tblHeader w:val="off"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СРБ, мг/л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4,8 ± 2,6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9,3 ± 4,1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&lt; 0,001</w:t>
            </w:r>
          </w:p>
        </w:tc>
      </w:tr>
      <w:tr>
        <w:trPr>
          <w:cantSplit w:val="off"/>
          <w:tblHeader w:val="off"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Креатинин, мкмоль/л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88 ± 14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91 ± 16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0,27</w:t>
            </w:r>
          </w:p>
        </w:tc>
      </w:tr>
    </w:tbl>
    <w:p>
      <w:pPr>
        <w:spacing w:after="120" w:before="0"/>
      </w:pPr>
    </w:p>
    <w:p>
      <w:pPr>
        <w:keepNext/>
        <w:spacing w:after="60" w:before="120" w:line="240" w:lineRule="auto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Таблица 3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Исходы через 6 и 12 месяцев</w:t>
      </w:r>
    </w:p>
    <w:tbl>
      <w:tblPr>
        <w:tblW w:type="pct" w:w="50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870"/>
        <w:gridCol w:w="1870"/>
        <w:gridCol w:w="1870"/>
        <w:gridCol w:w="1870"/>
        <w:gridCol w:w="1870"/>
      </w:tblGrid>
      <w:tr>
        <w:trPr>
          <w:cantSplit/>
          <w:tblHeader/>
        </w:trPr>
        <w:tc>
          <w:tcPr>
            <w:vMerge w:val="restart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Исход</w:t>
            </w:r>
          </w:p>
        </w:tc>
        <w:tc>
          <w:tcPr>
            <w:gridSpan w:val="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6 месяцев</w:t>
            </w:r>
          </w:p>
        </w:tc>
        <w:tc>
          <w:tcPr>
            <w:gridSpan w:val="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12 месяцев</w:t>
            </w:r>
          </w:p>
        </w:tc>
      </w:tr>
      <w:tr>
        <w:trPr>
          <w:cantSplit w:val="off"/>
          <w:tblHeader w:val="off"/>
        </w:trPr>
        <w:tc>
          <w:tcPr>
            <w:vMerge w:val="continue"/>
          </w:tcPr>
          <w:p/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Терапия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Контроль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Терапия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Контроль</w:t>
            </w:r>
          </w:p>
        </w:tc>
      </w:tr>
      <w:tr>
        <w:trPr>
          <w:cantSplit w:val="off"/>
          <w:tblHeader w:val="off"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Ремиссия, n (%)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34 (56,7)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21 (35,0)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39 (65,0)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24 (40,0)</w:t>
            </w:r>
          </w:p>
        </w:tc>
      </w:tr>
      <w:tr>
        <w:trPr>
          <w:cantSplit w:val="off"/>
          <w:tblHeader w:val="off"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Рецидив, n (%)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 (10,0)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13 (21,7)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 (13,3)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17 (28,3)</w:t>
            </w:r>
          </w:p>
        </w:tc>
      </w:tr>
      <w:tr>
        <w:trPr>
          <w:cantSplit w:val="off"/>
          <w:tblHeader w:val="off"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Госпитализация, n (%)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 (5,0)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 (11,7)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 (6,7)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 (15,0)</w:t>
            </w:r>
          </w:p>
        </w:tc>
      </w:tr>
    </w:tbl>
    <w:p>
      <w:pPr>
        <w:spacing w:after="120" w:before="0"/>
      </w:pPr>
    </w:p>
    <w:p>
      <w:pPr>
        <w:keepNext/>
        <w:spacing w:after="60" w:before="120" w:line="240" w:lineRule="auto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Таблица 4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Характеристика участников</w:t>
      </w:r>
    </w:p>
    <w:tbl>
      <w:tblPr>
        <w:tblW w:type="pct" w:w="50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338"/>
        <w:gridCol w:w="2338"/>
        <w:gridCol w:w="2338"/>
        <w:gridCol w:w="2338"/>
      </w:tblGrid>
      <w:tr>
        <w:trPr>
          <w:cantSplit/>
          <w:tblHeader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Все (n = 120)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Мужчины (n = 58)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Женщины (n = 62)</w:t>
            </w:r>
          </w:p>
        </w:tc>
      </w:tr>
      <w:tr>
        <w:trPr>
          <w:cantSplit w:val="off"/>
          <w:tblHeader w:val="off"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Возраст, лет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54,3 ± 11,2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55,1 ± 10,8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53,6 ± 11,6</w:t>
            </w:r>
          </w:p>
        </w:tc>
      </w:tr>
      <w:tr>
        <w:trPr>
          <w:cantSplit w:val="off"/>
          <w:tblHeader w:val="off"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Курение, n (%)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31 (25,8)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21 (36,2)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 (16,1)</w:t>
            </w:r>
          </w:p>
        </w:tc>
      </w:tr>
      <w:tr>
        <w:trPr>
          <w:cantSplit w:val="off"/>
          <w:tblHeader w:val="off"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СД 2 типа, n (%)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27 (22,5)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 (24,1)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Lines/>
              <w:spacing w:after="0" w:before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13 (21,0)</w:t>
            </w:r>
          </w:p>
        </w:tc>
      </w:tr>
    </w:tbl>
    <w:p>
      <w:pPr>
        <w:spacing w:after="120" w:before="0"/>
      </w:pPr>
    </w:p>
    <w:p>
      <w:pPr>
        <w:keepNext/>
        <w:spacing w:after="60" w:before="120"/>
        <w:jc w:val="center"/>
      </w:pPr>
      <w:r>
        <w:drawing>
          <wp:inline distT="0" distB="0" distL="0" distR="0">
            <wp:extent cx="2847975" cy="581025"/>
            <wp:effectExtent t="0" r="0" b="0" l="0"/>
            <wp:docPr id="18" name="figure" descr="Параметры модели (скриншот)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120" w:line="240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Рис. 9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Параметры модели (скриншот)</w:t>
      </w:r>
    </w:p>
    <w:sectPr>
      <w:footerReference w:type="default" r:id="rId6"/>
      <w:pgSz w:w="11905" w:h="16837" w:orient="portrait"/>
      <w:pgMar w:top="1133" w:right="850" w:bottom="1133" w:left="1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6" w:hanging="283"/>
      </w:pPr>
    </w:lvl>
    <w:lvl w:ilvl="1" w:tentative="1">
      <w:start w:val="1"/>
      <w:numFmt w:val="bullet"/>
      <w:lvlText w:val="•"/>
      <w:lvlJc w:val="left"/>
      <w:pPr>
        <w:ind w:left="850" w:hanging="283"/>
      </w:pPr>
    </w:lvl>
    <w:lvl w:ilvl="2" w:tentative="1">
      <w:start w:val="1"/>
      <w:numFmt w:val="bullet"/>
      <w:lvlText w:val="•"/>
      <w:lvlJc w:val="left"/>
      <w:pPr>
        <w:ind w:left="1133" w:hanging="283"/>
      </w:pPr>
    </w:lvl>
    <w:lvl w:ilvl="3" w:tentative="1">
      <w:start w:val="1"/>
      <w:numFmt w:val="bullet"/>
      <w:lvlText w:val="•"/>
      <w:lvlJc w:val="left"/>
      <w:pPr>
        <w:ind w:left="1417" w:hanging="283"/>
      </w:pPr>
    </w:lvl>
    <w:lvl w:ilvl="4" w:tentative="1">
      <w:start w:val="1"/>
      <w:numFmt w:val="bullet"/>
      <w:lvlText w:val="•"/>
      <w:lvlJc w:val="left"/>
      <w:pPr>
        <w:ind w:left="1700" w:hanging="283"/>
      </w:pPr>
    </w:lvl>
    <w:lvl w:ilvl="5" w:tentative="1">
      <w:start w:val="1"/>
      <w:numFmt w:val="bullet"/>
      <w:lvlText w:val="•"/>
      <w:lvlJc w:val="left"/>
      <w:pPr>
        <w:ind w:left="1984" w:hanging="283"/>
      </w:pPr>
    </w:lvl>
    <w:lvl w:ilvl="6" w:tentative="1">
      <w:start w:val="1"/>
      <w:numFmt w:val="bullet"/>
      <w:lvlText w:val="•"/>
      <w:lvlJc w:val="left"/>
      <w:pPr>
        <w:ind w:left="2267" w:hanging="283"/>
      </w:pPr>
    </w:lvl>
    <w:lvl w:ilvl="7" w:tentative="1">
      <w:start w:val="1"/>
      <w:numFmt w:val="bullet"/>
      <w:lvlText w:val="•"/>
      <w:lvlJc w:val="left"/>
      <w:pPr>
        <w:ind w:left="2551" w:hanging="283"/>
      </w:pPr>
    </w:lvl>
    <w:lvl w:ilvl="8" w:tentative="1">
      <w:start w:val="1"/>
      <w:numFmt w:val="bullet"/>
      <w:lvlText w:val="•"/>
      <w:lvlJc w:val="left"/>
      <w:pPr>
        <w:ind w:left="2834" w:hanging="283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)"/>
      <w:lvlJc w:val="left"/>
      <w:pPr>
        <w:ind w:left="566" w:hanging="340"/>
      </w:pPr>
    </w:lvl>
    <w:lvl w:ilvl="1" w:tentative="1">
      <w:start w:val="1"/>
      <w:numFmt w:val="decimal"/>
      <w:lvlText w:val="%2)"/>
      <w:lvlJc w:val="left"/>
      <w:pPr>
        <w:ind w:left="850" w:hanging="340"/>
      </w:pPr>
    </w:lvl>
    <w:lvl w:ilvl="2" w:tentative="1">
      <w:start w:val="1"/>
      <w:numFmt w:val="decimal"/>
      <w:lvlText w:val="%3)"/>
      <w:lvlJc w:val="left"/>
      <w:pPr>
        <w:ind w:left="1133" w:hanging="340"/>
      </w:pPr>
    </w:lvl>
    <w:lvl w:ilvl="3" w:tentative="1">
      <w:start w:val="1"/>
      <w:numFmt w:val="decimal"/>
      <w:lvlText w:val="%4)"/>
      <w:lvlJc w:val="left"/>
      <w:pPr>
        <w:ind w:left="1417" w:hanging="340"/>
      </w:pPr>
    </w:lvl>
    <w:lvl w:ilvl="4" w:tentative="1">
      <w:start w:val="1"/>
      <w:numFmt w:val="decimal"/>
      <w:lvlText w:val="%5)"/>
      <w:lvlJc w:val="left"/>
      <w:pPr>
        <w:ind w:left="1700" w:hanging="340"/>
      </w:pPr>
    </w:lvl>
    <w:lvl w:ilvl="5" w:tentative="1">
      <w:start w:val="1"/>
      <w:numFmt w:val="decimal"/>
      <w:lvlText w:val="%6)"/>
      <w:lvlJc w:val="left"/>
      <w:pPr>
        <w:ind w:left="1984" w:hanging="340"/>
      </w:pPr>
    </w:lvl>
    <w:lvl w:ilvl="6" w:tentative="1">
      <w:start w:val="1"/>
      <w:numFmt w:val="decimal"/>
      <w:lvlText w:val="%7)"/>
      <w:lvlJc w:val="left"/>
      <w:pPr>
        <w:ind w:left="2267" w:hanging="340"/>
      </w:pPr>
    </w:lvl>
    <w:lvl w:ilvl="7" w:tentative="1">
      <w:start w:val="1"/>
      <w:numFmt w:val="decimal"/>
      <w:lvlText w:val="%8)"/>
      <w:lvlJc w:val="left"/>
      <w:pPr>
        <w:ind w:left="2551" w:hanging="340"/>
      </w:pPr>
    </w:lvl>
    <w:lvl w:ilvl="8" w:tentative="1">
      <w:start w:val="1"/>
      <w:numFmt w:val="decimal"/>
      <w:lvlText w:val="%9)"/>
      <w:lvlJc w:val="left"/>
      <w:pPr>
        <w:ind w:left="2834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20" w:before="240"/>
      <w:jc w:val="center"/>
    </w:pPr>
    <w:rPr>
      <w:rFonts w:ascii="Times New Roman" w:cs="Times New Roman" w:eastAsia="Times New Roman" w:hAnsi="Times New Roman"/>
      <w:b/>
      <w:bCs/>
      <w:i w:val="false"/>
      <w:iCs w:val="false"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  <w:jc w:val="center"/>
    </w:pPr>
    <w:rPr>
      <w:rFonts w:ascii="Times New Roman" w:cs="Times New Roman" w:eastAsia="Times New Roman" w:hAnsi="Times New Roman"/>
      <w:b/>
      <w:bCs/>
      <w:i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20" w:before="240"/>
      <w:jc w:val="left"/>
    </w:pPr>
    <w:rPr>
      <w:rFonts w:ascii="Times New Roman" w:cs="Times New Roman" w:eastAsia="Times New Roman" w:hAnsi="Times New Roman"/>
      <w:b w:val="false"/>
      <w:bCs w:val="false"/>
      <w:i/>
      <w:iCs/>
      <w:color w:val="000000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15c0e43546f7e52fdd61d309c3293a929ab4a13e.png"/><Relationship Id="rId9" Type="http://schemas.openxmlformats.org/officeDocument/2006/relationships/image" Target="media/94191ef8c65f2db78b0d65f48715b96bebf29bca.png"/><Relationship Id="rId10" Type="http://schemas.openxmlformats.org/officeDocument/2006/relationships/image" Target="media/5c236ab202987be8894d18e4adf5b0ee11059d02.png"/><Relationship Id="rId11" Type="http://schemas.openxmlformats.org/officeDocument/2006/relationships/image" Target="media/06339edf1a92bd57e5c33551fbdc5865d445aa95.png"/><Relationship Id="rId12" Type="http://schemas.openxmlformats.org/officeDocument/2006/relationships/image" Target="media/b5b08a9cce554d71dd470e8a4c3fc8070818cc5b.png"/><Relationship Id="rId13" Type="http://schemas.openxmlformats.org/officeDocument/2006/relationships/image" Target="media/86c2fddf88ec82c6c307dccaef3ed095fad62b5a.jpg"/><Relationship Id="rId14" Type="http://schemas.openxmlformats.org/officeDocument/2006/relationships/image" Target="media/1bba9f299015159809f0dd223745b2c875217784.png"/><Relationship Id="rId15" Type="http://schemas.openxmlformats.org/officeDocument/2006/relationships/image" Target="media/cb6e44fec61c161f9bdcc01a92a8fa885f0ac799.png"/><Relationship Id="rId16" Type="http://schemas.openxmlformats.org/officeDocument/2006/relationships/image" Target="media/a406482d3aa005309f7f5c7f366d890f08d7525c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ВЛИЯНИЕ ТЕРАПИИ НА КЛИНИЧЕСКИЕ ПОКАЗАТЕЛИ</dc:title>
  <dc:creator>Bazla</dc:creator>
  <dc:description>Оформлено в Bazla: bazla.ru</dc:description>
  <cp:revision>1</cp:revision>
  <dcterms:created xsi:type="dcterms:W3CDTF">2026-10-14T12:11:16.539Z</dcterms:created>
  <dcterms:modified xsi:type="dcterms:W3CDTF">2026-10-14T12:11:16.539Z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